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before="800"/>
        <w:jc w:val="center"/>
      </w:pPr>
      <w:r>
        <w:rPr>
          <w:b/>
          <w:bCs/>
          <w:sz w:val="44"/>
          <w:szCs w:val="44"/>
        </w:rPr>
        <w:t xml:space="preserve">Auftragsverarbeitungsvertrag</w:t>
      </w:r>
    </w:p>
    <w:p>
      <w:pPr>
        <w:spacing w:after="200"/>
        <w:jc w:val="center"/>
      </w:pPr>
      <w:r>
        <w:rPr>
          <w:color w:val="64748B"/>
          <w:sz w:val="24"/>
          <w:szCs w:val="24"/>
        </w:rPr>
        <w:t xml:space="preserve">(AVV) nach Art. 9 revDSG (nDSG)</w:t>
      </w:r>
    </w:p>
    <w:p>
      <w:pPr>
        <w:spacing w:after="1200"/>
        <w:jc w:val="center"/>
      </w:pPr>
      <w:r>
        <w:rPr>
          <w:i/>
          <w:iCs/>
          <w:color w:val="64748B"/>
          <w:sz w:val="22"/>
          <w:szCs w:val="22"/>
        </w:rPr>
        <w:t xml:space="preserve">zwischen dem Verantwortlichen und BlitzDoc (Auftragsverarbeiter)</w:t>
      </w:r>
    </w:p>
    <w:p>
      <w:pPr>
        <w:spacing w:after="200"/>
        <w:jc w:val="center"/>
      </w:pPr>
      <w:r>
        <w:rPr>
          <w:b/>
          <w:bCs/>
          <w:color w:val="B45309"/>
          <w:sz w:val="20"/>
          <w:szCs w:val="20"/>
        </w:rPr>
        <w:t xml:space="preserve">MUSTERVERTRAG — BITTE VOR UNTERZEICHNUNG DURCH</w:t>
      </w:r>
    </w:p>
    <w:p>
      <w:pPr>
        <w:spacing w:after="800"/>
        <w:jc w:val="center"/>
      </w:pPr>
      <w:r>
        <w:rPr>
          <w:b/>
          <w:bCs/>
          <w:color w:val="B45309"/>
          <w:sz w:val="20"/>
          <w:szCs w:val="20"/>
        </w:rPr>
        <w:t xml:space="preserve">DEN/DIE DATENSCHUTZBEAUFTRAGTE/N PRÜFEN LASSEN</w:t>
      </w:r>
    </w:p>
    <w:p>
      <w:r>
        <w:br w:type="page"/>
      </w:r>
    </w:p>
    <w:p>
      <w:pPr>
        <w:pStyle w:val="Heading1"/>
        <w:spacing w:after="200" w:before="400"/>
      </w:pPr>
      <w:r>
        <w:rPr>
          <w:b/>
          <w:bCs/>
          <w:sz w:val="32"/>
          <w:szCs w:val="32"/>
        </w:rPr>
        <w:t xml:space="preserve">1. Vertragsparteien</w:t>
      </w:r>
    </w:p>
    <w:p>
      <w:pPr>
        <w:pStyle w:val="Heading3"/>
        <w:spacing w:after="80" w:before="240"/>
      </w:pPr>
      <w:r>
        <w:rPr>
          <w:b/>
          <w:bCs/>
          <w:sz w:val="22"/>
          <w:szCs w:val="22"/>
        </w:rPr>
        <w:t xml:space="preserve">1.1 Verantwortlicher (Auftraggeber)</w:t>
      </w:r>
    </w:p>
    <w:p>
      <w:pPr>
        <w:spacing w:after="120"/>
        <w:jc w:val="both"/>
      </w:pPr>
      <w:r>
        <w:rPr>
          <w:b w:val="false"/>
          <w:bCs w:val="false"/>
          <w:i w:val="false"/>
          <w:iCs w:val="false"/>
          <w:color w:val="000000"/>
          <w:sz w:val="22"/>
          <w:szCs w:val="22"/>
        </w:rPr>
        <w:t xml:space="preserve">Praxis / Arzt oder Ärztin: ________________________________________</w:t>
      </w:r>
    </w:p>
    <w:p>
      <w:pPr>
        <w:spacing w:after="120"/>
        <w:jc w:val="both"/>
      </w:pPr>
      <w:r>
        <w:rPr>
          <w:b w:val="false"/>
          <w:bCs w:val="false"/>
          <w:i w:val="false"/>
          <w:iCs w:val="false"/>
          <w:color w:val="000000"/>
          <w:sz w:val="22"/>
          <w:szCs w:val="22"/>
        </w:rPr>
        <w:t xml:space="preserve">Strasse, Nr.: ________________________________________</w:t>
      </w:r>
    </w:p>
    <w:p>
      <w:pPr>
        <w:spacing w:after="120"/>
        <w:jc w:val="both"/>
      </w:pPr>
      <w:r>
        <w:rPr>
          <w:b w:val="false"/>
          <w:bCs w:val="false"/>
          <w:i w:val="false"/>
          <w:iCs w:val="false"/>
          <w:color w:val="000000"/>
          <w:sz w:val="22"/>
          <w:szCs w:val="22"/>
        </w:rPr>
        <w:t xml:space="preserve">PLZ, Ort: ________________________________________</w:t>
      </w:r>
    </w:p>
    <w:p>
      <w:pPr>
        <w:spacing w:after="120"/>
        <w:jc w:val="both"/>
      </w:pPr>
      <w:r>
        <w:rPr>
          <w:b w:val="false"/>
          <w:bCs w:val="false"/>
          <w:i w:val="false"/>
          <w:iCs w:val="false"/>
          <w:color w:val="000000"/>
          <w:sz w:val="22"/>
          <w:szCs w:val="22"/>
        </w:rPr>
        <w:t xml:space="preserve">E-Mail: ________________________________________</w:t>
      </w:r>
    </w:p>
    <w:p>
      <w:pPr>
        <w:spacing w:after="120"/>
        <w:jc w:val="both"/>
      </w:pPr>
      <w:r>
        <w:rPr>
          <w:b w:val="false"/>
          <w:bCs w:val="false"/>
          <w:i w:val="false"/>
          <w:iCs w:val="false"/>
          <w:color w:val="000000"/>
          <w:sz w:val="22"/>
          <w:szCs w:val="22"/>
        </w:rPr>
        <w:t xml:space="preserve">(nachfolgend «Verantwortlicher»)</w:t>
      </w:r>
    </w:p>
    <w:p>
      <w:pPr>
        <w:pStyle w:val="Heading3"/>
        <w:spacing w:after="80" w:before="240"/>
      </w:pPr>
      <w:r>
        <w:rPr>
          <w:b/>
          <w:bCs/>
          <w:sz w:val="22"/>
          <w:szCs w:val="22"/>
        </w:rPr>
        <w:t xml:space="preserve">1.2 Auftragsverarbeiter</w:t>
      </w:r>
    </w:p>
    <w:p>
      <w:pPr>
        <w:spacing w:after="120"/>
        <w:jc w:val="both"/>
      </w:pPr>
      <w:r>
        <w:rPr>
          <w:b w:val="false"/>
          <w:bCs w:val="false"/>
          <w:i w:val="false"/>
          <w:iCs w:val="false"/>
          <w:color w:val="000000"/>
          <w:sz w:val="22"/>
          <w:szCs w:val="22"/>
        </w:rPr>
        <w:t xml:space="preserve">BlitzDoc</w:t>
      </w:r>
    </w:p>
    <w:p>
      <w:pPr>
        <w:spacing w:after="120"/>
        <w:jc w:val="both"/>
      </w:pPr>
      <w:r>
        <w:rPr>
          <w:b w:val="false"/>
          <w:bCs w:val="false"/>
          <w:i w:val="false"/>
          <w:iCs w:val="false"/>
          <w:color w:val="000000"/>
          <w:sz w:val="22"/>
          <w:szCs w:val="22"/>
        </w:rPr>
        <w:t xml:space="preserve">Vertreten durch: Drayhan Ozdemir</w:t>
      </w:r>
    </w:p>
    <w:p>
      <w:pPr>
        <w:spacing w:after="120"/>
        <w:jc w:val="both"/>
      </w:pPr>
      <w:r>
        <w:rPr>
          <w:b w:val="false"/>
          <w:bCs w:val="false"/>
          <w:i w:val="false"/>
          <w:iCs w:val="false"/>
          <w:color w:val="000000"/>
          <w:sz w:val="22"/>
          <w:szCs w:val="22"/>
        </w:rPr>
        <w:t xml:space="preserve">Kontakt: info@blitzdoc.ch</w:t>
      </w:r>
    </w:p>
    <w:p>
      <w:pPr>
        <w:spacing w:after="120"/>
        <w:jc w:val="both"/>
      </w:pPr>
      <w:r>
        <w:rPr>
          <w:b w:val="false"/>
          <w:bCs w:val="false"/>
          <w:i w:val="false"/>
          <w:iCs w:val="false"/>
          <w:color w:val="000000"/>
          <w:sz w:val="22"/>
          <w:szCs w:val="22"/>
        </w:rPr>
        <w:t xml:space="preserve">Meldungen Datenschutzvorfall: security@blitzdoc.ch</w:t>
      </w:r>
    </w:p>
    <w:p>
      <w:pPr>
        <w:spacing w:after="120"/>
        <w:jc w:val="both"/>
      </w:pPr>
      <w:r>
        <w:rPr>
          <w:b w:val="false"/>
          <w:bCs w:val="false"/>
          <w:i w:val="false"/>
          <w:iCs w:val="false"/>
          <w:color w:val="000000"/>
          <w:sz w:val="22"/>
          <w:szCs w:val="22"/>
        </w:rPr>
        <w:t xml:space="preserve">(nachfolgend «Auftragsverarbeiter» oder «BlitzDoc»)</w:t>
      </w:r>
    </w:p>
    <w:p>
      <w:pPr>
        <w:pStyle w:val="Heading1"/>
        <w:spacing w:after="200" w:before="400"/>
      </w:pPr>
      <w:r>
        <w:rPr>
          <w:b/>
          <w:bCs/>
          <w:sz w:val="32"/>
          <w:szCs w:val="32"/>
        </w:rPr>
        <w:t xml:space="preserve">2. Gegenstand und Dauer des Auftrags</w:t>
      </w:r>
    </w:p>
    <w:p>
      <w:pPr>
        <w:pStyle w:val="Heading3"/>
        <w:spacing w:after="80" w:before="240"/>
      </w:pPr>
      <w:r>
        <w:rPr>
          <w:b/>
          <w:bCs/>
          <w:sz w:val="22"/>
          <w:szCs w:val="22"/>
        </w:rPr>
        <w:t xml:space="preserve">2.1 Gegenstand</w:t>
      </w:r>
    </w:p>
    <w:p>
      <w:pPr>
        <w:spacing w:after="120"/>
        <w:jc w:val="both"/>
      </w:pPr>
      <w:r>
        <w:rPr>
          <w:b w:val="false"/>
          <w:bCs w:val="false"/>
          <w:i w:val="false"/>
          <w:iCs w:val="false"/>
          <w:color w:val="000000"/>
          <w:sz w:val="22"/>
          <w:szCs w:val="22"/>
        </w:rPr>
        <w:t xml:space="preserve">Der Auftragsverarbeiter stellt dem Verantwortlichen einen KI-gestützten Dokumentationsassistenten zur Verfügung. Der Dienst wandelt Eingaben des Verantwortlichen (Stichworte oder Audio-Aufnahmen ärztlicher Konsultationen) in strukturierte medizinische Dokumentation (SOAP-Notizen, Arztberichte, Überweisungsschreiben) um.</w:t>
      </w:r>
    </w:p>
    <w:p>
      <w:pPr>
        <w:pStyle w:val="Heading3"/>
        <w:spacing w:after="80" w:before="240"/>
      </w:pPr>
      <w:r>
        <w:rPr>
          <w:b/>
          <w:bCs/>
          <w:sz w:val="22"/>
          <w:szCs w:val="22"/>
        </w:rPr>
        <w:t xml:space="preserve">2.2 Zweck der Verarbeitung</w:t>
      </w:r>
    </w:p>
    <w:p>
      <w:pPr>
        <w:spacing w:after="120"/>
        <w:jc w:val="both"/>
      </w:pPr>
      <w:r>
        <w:rPr>
          <w:b w:val="false"/>
          <w:bCs w:val="false"/>
          <w:i w:val="false"/>
          <w:iCs w:val="false"/>
          <w:color w:val="000000"/>
          <w:sz w:val="22"/>
          <w:szCs w:val="22"/>
        </w:rPr>
        <w:t xml:space="preserve">Die Verarbeitung erfolgt ausschliesslich zum Zweck der Unterstützung der ärztlichen Dokumentation des Verantwortlichen. Eine Weiterverwendung der Daten zu anderen Zwecken (insbesondere Training von KI-Modellen, Weitergabe an Dritte, Marktforschung, Profilbildung) ist ausgeschlossen.</w:t>
      </w:r>
    </w:p>
    <w:p>
      <w:pPr>
        <w:pStyle w:val="Heading3"/>
        <w:spacing w:after="80" w:before="240"/>
      </w:pPr>
      <w:r>
        <w:rPr>
          <w:b/>
          <w:bCs/>
          <w:sz w:val="22"/>
          <w:szCs w:val="22"/>
        </w:rPr>
        <w:t xml:space="preserve">2.3 Dauer</w:t>
      </w:r>
    </w:p>
    <w:p>
      <w:pPr>
        <w:spacing w:after="120"/>
        <w:jc w:val="both"/>
      </w:pPr>
      <w:r>
        <w:rPr>
          <w:b w:val="false"/>
          <w:bCs w:val="false"/>
          <w:i w:val="false"/>
          <w:iCs w:val="false"/>
          <w:color w:val="000000"/>
          <w:sz w:val="22"/>
          <w:szCs w:val="22"/>
        </w:rPr>
        <w:t xml:space="preserve">Dieser Vertrag tritt mit Unterzeichnung in Kraft und gilt, solange der Verantwortliche den Dienst BlitzDoc nutzt. Er endet automatisch mit Beendigung des Nutzungsverhältnisses. Die Pflichten zur Rückgabe oder Löschung der Daten gemäss Ziffer 9 bestehen über das Vertragsende hinaus.</w:t>
      </w:r>
    </w:p>
    <w:p>
      <w:pPr>
        <w:pStyle w:val="Heading1"/>
        <w:spacing w:after="200" w:before="400"/>
      </w:pPr>
      <w:r>
        <w:rPr>
          <w:b/>
          <w:bCs/>
          <w:sz w:val="32"/>
          <w:szCs w:val="32"/>
        </w:rPr>
        <w:t xml:space="preserve">3. Art der verarbeiteten Daten</w:t>
      </w:r>
    </w:p>
    <w:p>
      <w:pPr>
        <w:spacing w:after="120"/>
        <w:jc w:val="both"/>
      </w:pPr>
      <w:r>
        <w:rPr>
          <w:b w:val="false"/>
          <w:bCs w:val="false"/>
          <w:i w:val="false"/>
          <w:iCs w:val="false"/>
          <w:color w:val="000000"/>
          <w:sz w:val="22"/>
          <w:szCs w:val="22"/>
        </w:rPr>
        <w:t xml:space="preserve">Der Verantwortliche bestimmt, welche personenbezogenen Daten verarbeitet werden. Typischerweise fallen folgende Datenkategorien an:</w:t>
      </w:r>
    </w:p>
    <w:p>
      <w:pPr>
        <w:spacing w:after="80"/>
        <w:ind w:left="360"/>
      </w:pPr>
      <w:r>
        <w:rPr>
          <w:b/>
          <w:bCs/>
          <w:sz w:val="22"/>
          <w:szCs w:val="22"/>
        </w:rPr>
        <w:t xml:space="preserve">• </w:t>
      </w:r>
      <w:r>
        <w:rPr>
          <w:sz w:val="22"/>
          <w:szCs w:val="22"/>
        </w:rPr>
        <w:t xml:space="preserve">Besonders schützenswerte Personendaten gemäss Art. 5 lit. c nDSG: Gesundheitsdaten (Anamnese, Diagnose, Befunde, Therapievorschläge, Medikation)</w:t>
      </w:r>
    </w:p>
    <w:p>
      <w:pPr>
        <w:spacing w:after="80"/>
        <w:ind w:left="360"/>
      </w:pPr>
      <w:r>
        <w:rPr>
          <w:b/>
          <w:bCs/>
          <w:sz w:val="22"/>
          <w:szCs w:val="22"/>
        </w:rPr>
        <w:t xml:space="preserve">• </w:t>
      </w:r>
      <w:r>
        <w:rPr>
          <w:sz w:val="22"/>
          <w:szCs w:val="22"/>
        </w:rPr>
        <w:t xml:space="preserve">Identifikationsdaten (sofern der Verantwortliche diese im Freitext erwähnt): Name, Geburtsdatum, Adresse, AHV-Nummer. BlitzDoc pseudonymisiert diese Daten vor der Verarbeitung durch das Sprachmodell automatisch.</w:t>
      </w:r>
    </w:p>
    <w:p>
      <w:pPr>
        <w:spacing w:after="80"/>
        <w:ind w:left="360"/>
      </w:pPr>
      <w:r>
        <w:rPr>
          <w:b/>
          <w:bCs/>
          <w:sz w:val="22"/>
          <w:szCs w:val="22"/>
        </w:rPr>
        <w:t xml:space="preserve">• </w:t>
      </w:r>
      <w:r>
        <w:rPr>
          <w:sz w:val="22"/>
          <w:szCs w:val="22"/>
        </w:rPr>
        <w:t xml:space="preserve">Technische Metadaten: IP-Adresse, Zeitstempel, Session-Token, Nutzungslogs zum Zwecke der Missbrauchsabwehr</w:t>
      </w:r>
    </w:p>
    <w:p>
      <w:pPr>
        <w:spacing w:after="80"/>
        <w:ind w:left="360"/>
      </w:pPr>
      <w:r>
        <w:rPr>
          <w:b/>
          <w:bCs/>
          <w:sz w:val="22"/>
          <w:szCs w:val="22"/>
        </w:rPr>
        <w:t xml:space="preserve">• </w:t>
      </w:r>
      <w:r>
        <w:rPr>
          <w:sz w:val="22"/>
          <w:szCs w:val="22"/>
        </w:rPr>
        <w:t xml:space="preserve">Benutzerkonto-Daten des Verantwortlichen: E-Mail, verschlüsseltes Passwort, Praxiszugehörigkeit</w:t>
      </w:r>
    </w:p>
    <w:p>
      <w:pPr>
        <w:pStyle w:val="Heading1"/>
        <w:spacing w:after="200" w:before="400"/>
      </w:pPr>
      <w:r>
        <w:rPr>
          <w:b/>
          <w:bCs/>
          <w:sz w:val="32"/>
          <w:szCs w:val="32"/>
        </w:rPr>
        <w:t xml:space="preserve">4. Betroffene Personengruppen</w:t>
      </w:r>
    </w:p>
    <w:p>
      <w:pPr>
        <w:spacing w:after="80"/>
        <w:ind w:left="360"/>
      </w:pPr>
      <w:r>
        <w:rPr>
          <w:b/>
          <w:bCs/>
          <w:sz w:val="22"/>
          <w:szCs w:val="22"/>
        </w:rPr>
        <w:t xml:space="preserve">• </w:t>
      </w:r>
      <w:r>
        <w:rPr>
          <w:sz w:val="22"/>
          <w:szCs w:val="22"/>
        </w:rPr>
        <w:t xml:space="preserve">Patientinnen und Patienten des Verantwortlichen, deren Konsultationsdaten der Verantwortliche in BlitzDoc eingibt</w:t>
      </w:r>
    </w:p>
    <w:p>
      <w:pPr>
        <w:spacing w:after="80"/>
        <w:ind w:left="360"/>
      </w:pPr>
      <w:r>
        <w:rPr>
          <w:b/>
          <w:bCs/>
          <w:sz w:val="22"/>
          <w:szCs w:val="22"/>
        </w:rPr>
        <w:t xml:space="preserve">• </w:t>
      </w:r>
      <w:r>
        <w:rPr>
          <w:sz w:val="22"/>
          <w:szCs w:val="22"/>
        </w:rPr>
        <w:t xml:space="preserve">Der Verantwortliche selbst als BlitzDoc-Benutzer</w:t>
      </w:r>
    </w:p>
    <w:p>
      <w:pPr>
        <w:pStyle w:val="Heading1"/>
        <w:spacing w:after="200" w:before="400"/>
      </w:pPr>
      <w:r>
        <w:rPr>
          <w:b/>
          <w:bCs/>
          <w:sz w:val="32"/>
          <w:szCs w:val="32"/>
        </w:rPr>
        <w:t xml:space="preserve">5. Technische und organisatorische Massnahmen (TOMs)</w:t>
      </w:r>
    </w:p>
    <w:p>
      <w:pPr>
        <w:spacing w:after="120"/>
        <w:jc w:val="both"/>
      </w:pPr>
      <w:r>
        <w:rPr>
          <w:b w:val="false"/>
          <w:bCs w:val="false"/>
          <w:i w:val="false"/>
          <w:iCs w:val="false"/>
          <w:color w:val="000000"/>
          <w:sz w:val="22"/>
          <w:szCs w:val="22"/>
        </w:rPr>
        <w:t xml:space="preserve">Der Auftragsverarbeiter ergreift angemessene technische und organisatorische Massnahmen zum Schutz der verarbeiteten Daten:</w:t>
      </w:r>
    </w:p>
    <w:p>
      <w:pPr>
        <w:pStyle w:val="Heading3"/>
        <w:spacing w:after="80" w:before="240"/>
      </w:pPr>
      <w:r>
        <w:rPr>
          <w:b/>
          <w:bCs/>
          <w:sz w:val="22"/>
          <w:szCs w:val="22"/>
        </w:rPr>
        <w:t xml:space="preserve">5.1 Datenresidenz</w:t>
      </w:r>
    </w:p>
    <w:p>
      <w:pPr>
        <w:spacing w:after="80"/>
        <w:ind w:left="360"/>
      </w:pPr>
      <w:r>
        <w:rPr>
          <w:b/>
          <w:bCs/>
          <w:sz w:val="22"/>
          <w:szCs w:val="22"/>
        </w:rPr>
        <w:t xml:space="preserve">• </w:t>
      </w:r>
      <w:r>
        <w:rPr>
          <w:sz w:val="22"/>
          <w:szCs w:val="22"/>
        </w:rPr>
        <w:t xml:space="preserve">Sämtliche Datenverarbeitung (Speech-to-Text, KI-Textgenerierung, Speicherung) findet ausschliesslich auf Servern in der Schweiz statt: Microsoft Azure Switzerland North (Zürich) sowie Amazon Web Services eu-central-2 (Zürich).</w:t>
      </w:r>
    </w:p>
    <w:p>
      <w:pPr>
        <w:spacing w:after="80"/>
        <w:ind w:left="360"/>
      </w:pPr>
      <w:r>
        <w:rPr>
          <w:b/>
          <w:bCs/>
          <w:sz w:val="22"/>
          <w:szCs w:val="22"/>
        </w:rPr>
        <w:t xml:space="preserve">• </w:t>
      </w:r>
      <w:r>
        <w:rPr>
          <w:sz w:val="22"/>
          <w:szCs w:val="22"/>
        </w:rPr>
        <w:t xml:space="preserve">Keine Übertragung von Patientendaten in Drittstaaten — auch nicht als Fallback bei technischen Ausfällen.</w:t>
      </w:r>
    </w:p>
    <w:p>
      <w:pPr>
        <w:pStyle w:val="Heading3"/>
        <w:spacing w:after="80" w:before="240"/>
      </w:pPr>
      <w:r>
        <w:rPr>
          <w:b/>
          <w:bCs/>
          <w:sz w:val="22"/>
          <w:szCs w:val="22"/>
        </w:rPr>
        <w:t xml:space="preserve">5.2 Verschlüsselung</w:t>
      </w:r>
    </w:p>
    <w:p>
      <w:pPr>
        <w:spacing w:after="80"/>
        <w:ind w:left="360"/>
      </w:pPr>
      <w:r>
        <w:rPr>
          <w:b/>
          <w:bCs/>
          <w:sz w:val="22"/>
          <w:szCs w:val="22"/>
        </w:rPr>
        <w:t xml:space="preserve">• </w:t>
      </w:r>
      <w:r>
        <w:rPr>
          <w:sz w:val="22"/>
          <w:szCs w:val="22"/>
        </w:rPr>
        <w:t xml:space="preserve">Transport: TLS 1.3 für alle API-Verbindungen</w:t>
      </w:r>
    </w:p>
    <w:p>
      <w:pPr>
        <w:spacing w:after="80"/>
        <w:ind w:left="360"/>
      </w:pPr>
      <w:r>
        <w:rPr>
          <w:b/>
          <w:bCs/>
          <w:sz w:val="22"/>
          <w:szCs w:val="22"/>
        </w:rPr>
        <w:t xml:space="preserve">• </w:t>
      </w:r>
      <w:r>
        <w:rPr>
          <w:sz w:val="22"/>
          <w:szCs w:val="22"/>
        </w:rPr>
        <w:t xml:space="preserve">Speicherung: AES-256-GCM (at rest) für Konsultationshistorie und Audit-Daten in S3</w:t>
      </w:r>
    </w:p>
    <w:p>
      <w:pPr>
        <w:spacing w:after="80"/>
        <w:ind w:left="360"/>
      </w:pPr>
      <w:r>
        <w:rPr>
          <w:b/>
          <w:bCs/>
          <w:sz w:val="22"/>
          <w:szCs w:val="22"/>
        </w:rPr>
        <w:t xml:space="preserve">• </w:t>
      </w:r>
      <w:r>
        <w:rPr>
          <w:sz w:val="22"/>
          <w:szCs w:val="22"/>
        </w:rPr>
        <w:t xml:space="preserve">Passwörter: PBKDF2 mit 100'000 Iterationen, automatischer Upgrade-Pfad von älteren Hash-Varianten</w:t>
      </w:r>
    </w:p>
    <w:p>
      <w:pPr>
        <w:pStyle w:val="Heading3"/>
        <w:spacing w:after="80" w:before="240"/>
      </w:pPr>
      <w:r>
        <w:rPr>
          <w:b/>
          <w:bCs/>
          <w:sz w:val="22"/>
          <w:szCs w:val="22"/>
        </w:rPr>
        <w:t xml:space="preserve">5.3 Zugriffskontrolle</w:t>
      </w:r>
    </w:p>
    <w:p>
      <w:pPr>
        <w:spacing w:after="80"/>
        <w:ind w:left="360"/>
      </w:pPr>
      <w:r>
        <w:rPr>
          <w:b/>
          <w:bCs/>
          <w:sz w:val="22"/>
          <w:szCs w:val="22"/>
        </w:rPr>
        <w:t xml:space="preserve">• </w:t>
      </w:r>
      <w:r>
        <w:rPr>
          <w:sz w:val="22"/>
          <w:szCs w:val="22"/>
        </w:rPr>
        <w:t xml:space="preserve">Session-Token mit automatischer Expiry nach 7 Tagen, Rotation bei Login</w:t>
      </w:r>
    </w:p>
    <w:p>
      <w:pPr>
        <w:spacing w:after="80"/>
        <w:ind w:left="360"/>
      </w:pPr>
      <w:r>
        <w:rPr>
          <w:b/>
          <w:bCs/>
          <w:sz w:val="22"/>
          <w:szCs w:val="22"/>
        </w:rPr>
        <w:t xml:space="preserve">• </w:t>
      </w:r>
      <w:r>
        <w:rPr>
          <w:sz w:val="22"/>
          <w:szCs w:val="22"/>
        </w:rPr>
        <w:t xml:space="preserve">Account-Lockout nach 5 fehlgeschlagenen Anmeldeversuchen (15 Minuten)</w:t>
      </w:r>
    </w:p>
    <w:p>
      <w:pPr>
        <w:spacing w:after="80"/>
        <w:ind w:left="360"/>
      </w:pPr>
      <w:r>
        <w:rPr>
          <w:b/>
          <w:bCs/>
          <w:sz w:val="22"/>
          <w:szCs w:val="22"/>
        </w:rPr>
        <w:t xml:space="preserve">• </w:t>
      </w:r>
      <w:r>
        <w:rPr>
          <w:sz w:val="22"/>
          <w:szCs w:val="22"/>
        </w:rPr>
        <w:t xml:space="preserve">Rate-Limiting auf KI-Endpunkten (15/Minute) und Login-Endpunkten (10 Versuche pro 15 Minuten)</w:t>
      </w:r>
    </w:p>
    <w:p>
      <w:pPr>
        <w:spacing w:after="80"/>
        <w:ind w:left="360"/>
      </w:pPr>
      <w:r>
        <w:rPr>
          <w:b/>
          <w:bCs/>
          <w:sz w:val="22"/>
          <w:szCs w:val="22"/>
        </w:rPr>
        <w:t xml:space="preserve">• </w:t>
      </w:r>
      <w:r>
        <w:rPr>
          <w:sz w:val="22"/>
          <w:szCs w:val="22"/>
        </w:rPr>
        <w:t xml:space="preserve">Role-based Access Control für Admin-Funktionen; nicht-autorisierte Endpunkte verweigern jeden Zugriff</w:t>
      </w:r>
    </w:p>
    <w:p>
      <w:pPr>
        <w:pStyle w:val="Heading3"/>
        <w:spacing w:after="80" w:before="240"/>
      </w:pPr>
      <w:r>
        <w:rPr>
          <w:b/>
          <w:bCs/>
          <w:sz w:val="22"/>
          <w:szCs w:val="22"/>
        </w:rPr>
        <w:t xml:space="preserve">5.4 Pseudonymisierung</w:t>
      </w:r>
    </w:p>
    <w:p>
      <w:pPr>
        <w:spacing w:after="80"/>
        <w:ind w:left="360"/>
      </w:pPr>
      <w:r>
        <w:rPr>
          <w:b/>
          <w:bCs/>
          <w:sz w:val="22"/>
          <w:szCs w:val="22"/>
        </w:rPr>
        <w:t xml:space="preserve">• </w:t>
      </w:r>
      <w:r>
        <w:rPr>
          <w:sz w:val="22"/>
          <w:szCs w:val="22"/>
        </w:rPr>
        <w:t xml:space="preserve">Vor Weitergabe an das Sprachmodell werden Patientennamen, Adressen, Geburtsdaten und weitere direkte Identifier durch Pseudonyme ersetzt.</w:t>
      </w:r>
    </w:p>
    <w:p>
      <w:pPr>
        <w:spacing w:after="80"/>
        <w:ind w:left="360"/>
      </w:pPr>
      <w:r>
        <w:rPr>
          <w:b/>
          <w:bCs/>
          <w:sz w:val="22"/>
          <w:szCs w:val="22"/>
        </w:rPr>
        <w:t xml:space="preserve">• </w:t>
      </w:r>
      <w:r>
        <w:rPr>
          <w:sz w:val="22"/>
          <w:szCs w:val="22"/>
        </w:rPr>
        <w:t xml:space="preserve">Die Rückführung der Pseudonyme geschieht erst am Ausgabe-Endpunkt und niemals serverseitig persistiert.</w:t>
      </w:r>
    </w:p>
    <w:p>
      <w:pPr>
        <w:pStyle w:val="Heading3"/>
        <w:spacing w:after="80" w:before="240"/>
      </w:pPr>
      <w:r>
        <w:rPr>
          <w:b/>
          <w:bCs/>
          <w:sz w:val="22"/>
          <w:szCs w:val="22"/>
        </w:rPr>
        <w:t xml:space="preserve">5.5 Netzwerk- und Anwendungssicherheit</w:t>
      </w:r>
    </w:p>
    <w:p>
      <w:pPr>
        <w:spacing w:after="80"/>
        <w:ind w:left="360"/>
      </w:pPr>
      <w:r>
        <w:rPr>
          <w:b/>
          <w:bCs/>
          <w:sz w:val="22"/>
          <w:szCs w:val="22"/>
        </w:rPr>
        <w:t xml:space="preserve">• </w:t>
      </w:r>
      <w:r>
        <w:rPr>
          <w:sz w:val="22"/>
          <w:szCs w:val="22"/>
        </w:rPr>
        <w:t xml:space="preserve">Content-Security-Policy ohne unsafe-inline, strikte HTTP-Header (X-Frame-Options: DENY, Strict-Transport-Security)</w:t>
      </w:r>
    </w:p>
    <w:p>
      <w:pPr>
        <w:spacing w:after="80"/>
        <w:ind w:left="360"/>
      </w:pPr>
      <w:r>
        <w:rPr>
          <w:b/>
          <w:bCs/>
          <w:sz w:val="22"/>
          <w:szCs w:val="22"/>
        </w:rPr>
        <w:t xml:space="preserve">• </w:t>
      </w:r>
      <w:r>
        <w:rPr>
          <w:sz w:val="22"/>
          <w:szCs w:val="22"/>
        </w:rPr>
        <w:t xml:space="preserve">CORS mit restriktiver Origin-Whitelist</w:t>
      </w:r>
    </w:p>
    <w:p>
      <w:pPr>
        <w:spacing w:after="80"/>
        <w:ind w:left="360"/>
      </w:pPr>
      <w:r>
        <w:rPr>
          <w:b/>
          <w:bCs/>
          <w:sz w:val="22"/>
          <w:szCs w:val="22"/>
        </w:rPr>
        <w:t xml:space="preserve">• </w:t>
      </w:r>
      <w:r>
        <w:rPr>
          <w:sz w:val="22"/>
          <w:szCs w:val="22"/>
        </w:rPr>
        <w:t xml:space="preserve">Input-Validierung und Ausgabe-Escaping zur Vermeidung von XSS, SQL-Injection und ähnlichen Angriffen</w:t>
      </w:r>
    </w:p>
    <w:p>
      <w:pPr>
        <w:pStyle w:val="Heading3"/>
        <w:spacing w:after="80" w:before="240"/>
      </w:pPr>
      <w:r>
        <w:rPr>
          <w:b/>
          <w:bCs/>
          <w:sz w:val="22"/>
          <w:szCs w:val="22"/>
        </w:rPr>
        <w:t xml:space="preserve">5.6 Audit-Log</w:t>
      </w:r>
    </w:p>
    <w:p>
      <w:pPr>
        <w:spacing w:after="80"/>
        <w:ind w:left="360"/>
      </w:pPr>
      <w:r>
        <w:rPr>
          <w:b/>
          <w:bCs/>
          <w:sz w:val="22"/>
          <w:szCs w:val="22"/>
        </w:rPr>
        <w:t xml:space="preserve">• </w:t>
      </w:r>
      <w:r>
        <w:rPr>
          <w:sz w:val="22"/>
          <w:szCs w:val="22"/>
        </w:rPr>
        <w:t xml:space="preserve">Administrative Ereignisse werden in einem unveränderlichen Audit-Log erfasst (JSON-Lines-Format)</w:t>
      </w:r>
    </w:p>
    <w:p>
      <w:pPr>
        <w:spacing w:after="80"/>
        <w:ind w:left="360"/>
      </w:pPr>
      <w:r>
        <w:rPr>
          <w:b/>
          <w:bCs/>
          <w:sz w:val="22"/>
          <w:szCs w:val="22"/>
        </w:rPr>
        <w:t xml:space="preserve">• </w:t>
      </w:r>
      <w:r>
        <w:rPr>
          <w:sz w:val="22"/>
          <w:szCs w:val="22"/>
        </w:rPr>
        <w:t xml:space="preserve">Zugriff auf das Audit-Log ist auf BlitzDoc-Administratoren beschränkt</w:t>
      </w:r>
    </w:p>
    <w:p>
      <w:pPr>
        <w:pStyle w:val="Heading3"/>
        <w:spacing w:after="80" w:before="240"/>
      </w:pPr>
      <w:r>
        <w:rPr>
          <w:b/>
          <w:bCs/>
          <w:sz w:val="22"/>
          <w:szCs w:val="22"/>
        </w:rPr>
        <w:t xml:space="preserve">5.7 Keine KI-Trainingsnutzung</w:t>
      </w:r>
    </w:p>
    <w:p>
      <w:pPr>
        <w:spacing w:after="80"/>
        <w:ind w:left="360"/>
      </w:pPr>
      <w:r>
        <w:rPr>
          <w:b/>
          <w:bCs/>
          <w:sz w:val="22"/>
          <w:szCs w:val="22"/>
        </w:rPr>
        <w:t xml:space="preserve">• </w:t>
      </w:r>
      <w:r>
        <w:rPr>
          <w:sz w:val="22"/>
          <w:szCs w:val="22"/>
        </w:rPr>
        <w:t xml:space="preserve">Die Eingaben und Ausgaben des Verantwortlichen werden weder zum Training von KI-Modellen verwendet noch an Dritte weitergegeben. Dies ist vertraglich mit dem Sprachmodell-Provider (OpenAI EU Enterprise mit Zero-Retention-Vereinbarung) abgesichert.</w:t>
      </w:r>
    </w:p>
    <w:p>
      <w:pPr>
        <w:pStyle w:val="Heading1"/>
        <w:spacing w:after="200" w:before="400"/>
      </w:pPr>
      <w:r>
        <w:rPr>
          <w:b/>
          <w:bCs/>
          <w:sz w:val="32"/>
          <w:szCs w:val="32"/>
        </w:rPr>
        <w:t xml:space="preserve">6. Subunternehmer (Unterauftragsverarbeiter)</w:t>
      </w:r>
    </w:p>
    <w:p>
      <w:pPr>
        <w:spacing w:after="120"/>
        <w:jc w:val="both"/>
      </w:pPr>
      <w:r>
        <w:rPr>
          <w:b w:val="false"/>
          <w:bCs w:val="false"/>
          <w:i w:val="false"/>
          <w:iCs w:val="false"/>
          <w:color w:val="000000"/>
          <w:sz w:val="22"/>
          <w:szCs w:val="22"/>
        </w:rPr>
        <w:t xml:space="preserve">Der Verantwortliche genehmigt den Einsatz der nachfolgend genannten Subunternehmer:</w:t>
      </w:r>
    </w:p>
    <w:p>
      <w:pPr>
        <w:pStyle w:val="Heading3"/>
        <w:spacing w:after="80" w:before="240"/>
      </w:pPr>
      <w:r>
        <w:rPr>
          <w:b/>
          <w:bCs/>
          <w:sz w:val="22"/>
          <w:szCs w:val="22"/>
        </w:rPr>
        <w:t xml:space="preserve">6.1 Zugelassene Subunternehmer</w:t>
      </w:r>
    </w:p>
    <w:p>
      <w:pPr>
        <w:spacing w:after="80"/>
        <w:ind w:left="360"/>
      </w:pPr>
      <w:r>
        <w:rPr>
          <w:b/>
          <w:bCs/>
          <w:sz w:val="22"/>
          <w:szCs w:val="22"/>
        </w:rPr>
        <w:t xml:space="preserve">• </w:t>
      </w:r>
      <w:r>
        <w:rPr>
          <w:sz w:val="22"/>
          <w:szCs w:val="22"/>
        </w:rPr>
        <w:t xml:space="preserve">Microsoft Ireland Operations Limited / Azure Switzerland North — Speech-to-Text (Whisper CH), KI-Textgenerierung, Hosting. Standort: Zürich, Schweiz.</w:t>
      </w:r>
    </w:p>
    <w:p>
      <w:pPr>
        <w:spacing w:after="80"/>
        <w:ind w:left="360"/>
      </w:pPr>
      <w:r>
        <w:rPr>
          <w:b/>
          <w:bCs/>
          <w:sz w:val="22"/>
          <w:szCs w:val="22"/>
        </w:rPr>
        <w:t xml:space="preserve">• </w:t>
      </w:r>
      <w:r>
        <w:rPr>
          <w:sz w:val="22"/>
          <w:szCs w:val="22"/>
        </w:rPr>
        <w:t xml:space="preserve">Amazon Web Services EMEA SARL / AWS eu-central-2 — Applikations-Hosting (Lambda, DynamoDB, S3, CloudFront). Standort: Zürich, Schweiz.</w:t>
      </w:r>
    </w:p>
    <w:p>
      <w:pPr>
        <w:spacing w:after="80"/>
        <w:ind w:left="360"/>
      </w:pPr>
      <w:r>
        <w:rPr>
          <w:b/>
          <w:bCs/>
          <w:sz w:val="22"/>
          <w:szCs w:val="22"/>
        </w:rPr>
        <w:t xml:space="preserve">• </w:t>
      </w:r>
      <w:r>
        <w:rPr>
          <w:sz w:val="22"/>
          <w:szCs w:val="22"/>
        </w:rPr>
        <w:t xml:space="preserve">OpenAI Ireland Limited — Sprachmodellverarbeitung im europäischen Wirtschaftsraum mit Zero-Retention-Vereinbarung. Kein Training auf Daten des Verantwortlichen.</w:t>
      </w:r>
    </w:p>
    <w:p>
      <w:pPr>
        <w:pStyle w:val="Heading3"/>
        <w:spacing w:after="80" w:before="240"/>
      </w:pPr>
      <w:r>
        <w:rPr>
          <w:b/>
          <w:bCs/>
          <w:sz w:val="22"/>
          <w:szCs w:val="22"/>
        </w:rPr>
        <w:t xml:space="preserve">6.2 Änderungen</w:t>
      </w:r>
    </w:p>
    <w:p>
      <w:pPr>
        <w:spacing w:after="120"/>
        <w:jc w:val="both"/>
      </w:pPr>
      <w:r>
        <w:rPr>
          <w:b w:val="false"/>
          <w:bCs w:val="false"/>
          <w:i w:val="false"/>
          <w:iCs w:val="false"/>
          <w:color w:val="000000"/>
          <w:sz w:val="22"/>
          <w:szCs w:val="22"/>
        </w:rPr>
        <w:t xml:space="preserve">Der Auftragsverarbeiter informiert den Verantwortlichen mindestens 30 Kalendertage im Voraus über jede Änderung der Subunternehmerliste. Der Verantwortliche kann aus wichtigem Grund Einspruch erheben; in diesem Fall endet das Vertragsverhältnis einvernehmlich.</w:t>
      </w:r>
    </w:p>
    <w:p>
      <w:pPr>
        <w:pStyle w:val="Heading1"/>
        <w:spacing w:after="200" w:before="400"/>
      </w:pPr>
      <w:r>
        <w:rPr>
          <w:b/>
          <w:bCs/>
          <w:sz w:val="32"/>
          <w:szCs w:val="32"/>
        </w:rPr>
        <w:t xml:space="preserve">7. Meldung von Datenschutzverletzungen</w:t>
      </w:r>
    </w:p>
    <w:p>
      <w:pPr>
        <w:spacing w:after="120"/>
        <w:jc w:val="both"/>
      </w:pPr>
      <w:r>
        <w:rPr>
          <w:b w:val="false"/>
          <w:bCs w:val="false"/>
          <w:i w:val="false"/>
          <w:iCs w:val="false"/>
          <w:color w:val="000000"/>
          <w:sz w:val="22"/>
          <w:szCs w:val="22"/>
        </w:rPr>
        <w:t xml:space="preserve">Der Auftragsverarbeiter unterrichtet den Verantwortlichen unverzüglich, spätestens innerhalb von 24 Stunden nach Kenntniserlangung, über jeden Datenschutzvorfall (Art. 24 nDSG), der personenbezogene Daten des Verantwortlichen betrifft.</w:t>
      </w:r>
    </w:p>
    <w:p>
      <w:pPr>
        <w:spacing w:after="120"/>
        <w:jc w:val="both"/>
      </w:pPr>
      <w:r>
        <w:rPr>
          <w:b w:val="false"/>
          <w:bCs w:val="false"/>
          <w:i w:val="false"/>
          <w:iCs w:val="false"/>
          <w:color w:val="000000"/>
          <w:sz w:val="22"/>
          <w:szCs w:val="22"/>
        </w:rPr>
        <w:t xml:space="preserve">Die Meldung erfolgt an die vom Verantwortlichen angegebene Kontaktadresse und enthält mindestens:</w:t>
      </w:r>
    </w:p>
    <w:p>
      <w:pPr>
        <w:spacing w:after="80"/>
        <w:ind w:left="360"/>
      </w:pPr>
      <w:r>
        <w:rPr>
          <w:b/>
          <w:bCs/>
          <w:sz w:val="22"/>
          <w:szCs w:val="22"/>
        </w:rPr>
        <w:t xml:space="preserve">• </w:t>
      </w:r>
      <w:r>
        <w:rPr>
          <w:sz w:val="22"/>
          <w:szCs w:val="22"/>
        </w:rPr>
        <w:t xml:space="preserve">Art, Umfang und Datum des Vorfalls</w:t>
      </w:r>
    </w:p>
    <w:p>
      <w:pPr>
        <w:spacing w:after="80"/>
        <w:ind w:left="360"/>
      </w:pPr>
      <w:r>
        <w:rPr>
          <w:b/>
          <w:bCs/>
          <w:sz w:val="22"/>
          <w:szCs w:val="22"/>
        </w:rPr>
        <w:t xml:space="preserve">• </w:t>
      </w:r>
      <w:r>
        <w:rPr>
          <w:sz w:val="22"/>
          <w:szCs w:val="22"/>
        </w:rPr>
        <w:t xml:space="preserve">Betroffene Datenkategorien und betroffene Personengruppen</w:t>
      </w:r>
    </w:p>
    <w:p>
      <w:pPr>
        <w:spacing w:after="80"/>
        <w:ind w:left="360"/>
      </w:pPr>
      <w:r>
        <w:rPr>
          <w:b/>
          <w:bCs/>
          <w:sz w:val="22"/>
          <w:szCs w:val="22"/>
        </w:rPr>
        <w:t xml:space="preserve">• </w:t>
      </w:r>
      <w:r>
        <w:rPr>
          <w:sz w:val="22"/>
          <w:szCs w:val="22"/>
        </w:rPr>
        <w:t xml:space="preserve">Voraussichtliche Folgen des Vorfalls</w:t>
      </w:r>
    </w:p>
    <w:p>
      <w:pPr>
        <w:spacing w:after="80"/>
        <w:ind w:left="360"/>
      </w:pPr>
      <w:r>
        <w:rPr>
          <w:b/>
          <w:bCs/>
          <w:sz w:val="22"/>
          <w:szCs w:val="22"/>
        </w:rPr>
        <w:t xml:space="preserve">• </w:t>
      </w:r>
      <w:r>
        <w:rPr>
          <w:sz w:val="22"/>
          <w:szCs w:val="22"/>
        </w:rPr>
        <w:t xml:space="preserve">Ergriffene und geplante Abhilfemassnahmen</w:t>
      </w:r>
    </w:p>
    <w:p>
      <w:pPr>
        <w:spacing w:after="120"/>
        <w:jc w:val="both"/>
      </w:pPr>
      <w:r>
        <w:rPr>
          <w:b w:val="false"/>
          <w:bCs w:val="false"/>
          <w:i w:val="false"/>
          <w:iCs w:val="false"/>
          <w:color w:val="000000"/>
          <w:sz w:val="22"/>
          <w:szCs w:val="22"/>
        </w:rPr>
        <w:t xml:space="preserve">Der Auftragsverarbeiter unterstützt den Verantwortlichen bei der Erfüllung seiner gesetzlichen Meldepflichten gegenüber dem EDÖB und den betroffenen Personen.</w:t>
      </w:r>
    </w:p>
    <w:p>
      <w:pPr>
        <w:pStyle w:val="Heading1"/>
        <w:spacing w:after="200" w:before="400"/>
      </w:pPr>
      <w:r>
        <w:rPr>
          <w:b/>
          <w:bCs/>
          <w:sz w:val="32"/>
          <w:szCs w:val="32"/>
        </w:rPr>
        <w:t xml:space="preserve">8. Rechte der betroffenen Personen</w:t>
      </w:r>
    </w:p>
    <w:p>
      <w:pPr>
        <w:spacing w:after="120"/>
        <w:jc w:val="both"/>
      </w:pPr>
      <w:r>
        <w:rPr>
          <w:b w:val="false"/>
          <w:bCs w:val="false"/>
          <w:i w:val="false"/>
          <w:iCs w:val="false"/>
          <w:color w:val="000000"/>
          <w:sz w:val="22"/>
          <w:szCs w:val="22"/>
        </w:rPr>
        <w:t xml:space="preserve">Der Auftragsverarbeiter unterstützt den Verantwortlichen bei der Erfüllung von Auskunfts-, Berichtigungs-, Löschungs- und Datenübertragbarkeits-Anfragen der betroffenen Personen gemäss Art. 25 ff. nDSG.</w:t>
      </w:r>
    </w:p>
    <w:p>
      <w:pPr>
        <w:pStyle w:val="Heading1"/>
        <w:spacing w:after="200" w:before="400"/>
      </w:pPr>
      <w:r>
        <w:rPr>
          <w:b/>
          <w:bCs/>
          <w:sz w:val="32"/>
          <w:szCs w:val="32"/>
        </w:rPr>
        <w:t xml:space="preserve">9. Rückgabe und Löschung der Daten</w:t>
      </w:r>
    </w:p>
    <w:p>
      <w:pPr>
        <w:spacing w:after="120"/>
        <w:jc w:val="both"/>
      </w:pPr>
      <w:r>
        <w:rPr>
          <w:b w:val="false"/>
          <w:bCs w:val="false"/>
          <w:i w:val="false"/>
          <w:iCs w:val="false"/>
          <w:color w:val="000000"/>
          <w:sz w:val="22"/>
          <w:szCs w:val="22"/>
        </w:rPr>
        <w:t xml:space="preserve">Nach Beendigung des Vertragsverhältnisses löscht der Auftragsverarbeiter sämtliche personenbezogene Daten des Verantwortlichen innerhalb von 30 Kalendertagen. Auf Anforderung des Verantwortlichen werden die Daten zuvor in einem maschinenlesbaren Format (JSON-Export) übergeben.</w:t>
      </w:r>
    </w:p>
    <w:p>
      <w:pPr>
        <w:spacing w:after="120"/>
        <w:jc w:val="both"/>
      </w:pPr>
      <w:r>
        <w:rPr>
          <w:b w:val="false"/>
          <w:bCs w:val="false"/>
          <w:i w:val="false"/>
          <w:iCs w:val="false"/>
          <w:color w:val="000000"/>
          <w:sz w:val="22"/>
          <w:szCs w:val="22"/>
        </w:rPr>
        <w:t xml:space="preserve">Aufbewahrungspflichten aus zwingendem Recht (beispielsweise Buchführungspflichten) bleiben vorbehalten.</w:t>
      </w:r>
    </w:p>
    <w:p>
      <w:pPr>
        <w:pStyle w:val="Heading1"/>
        <w:spacing w:after="200" w:before="400"/>
      </w:pPr>
      <w:r>
        <w:rPr>
          <w:b/>
          <w:bCs/>
          <w:sz w:val="32"/>
          <w:szCs w:val="32"/>
        </w:rPr>
        <w:t xml:space="preserve">10. Kontroll- und Auditrechte</w:t>
      </w:r>
    </w:p>
    <w:p>
      <w:pPr>
        <w:spacing w:after="120"/>
        <w:jc w:val="both"/>
      </w:pPr>
      <w:r>
        <w:rPr>
          <w:b w:val="false"/>
          <w:bCs w:val="false"/>
          <w:i w:val="false"/>
          <w:iCs w:val="false"/>
          <w:color w:val="000000"/>
          <w:sz w:val="22"/>
          <w:szCs w:val="22"/>
        </w:rPr>
        <w:t xml:space="preserve">Der Verantwortliche ist berechtigt, die Einhaltung dieses Vertrags und die Umsetzung der TOMs zu überprüfen. Der Auftragsverarbeiter stellt auf Anfrage folgende Dokumente bereit:</w:t>
      </w:r>
    </w:p>
    <w:p>
      <w:pPr>
        <w:spacing w:after="80"/>
        <w:ind w:left="360"/>
      </w:pPr>
      <w:r>
        <w:rPr>
          <w:b/>
          <w:bCs/>
          <w:sz w:val="22"/>
          <w:szCs w:val="22"/>
        </w:rPr>
        <w:t xml:space="preserve">• </w:t>
      </w:r>
      <w:r>
        <w:rPr>
          <w:sz w:val="22"/>
          <w:szCs w:val="22"/>
        </w:rPr>
        <w:t xml:space="preserve">Aktuelle TOM-Beschreibung</w:t>
      </w:r>
    </w:p>
    <w:p>
      <w:pPr>
        <w:spacing w:after="80"/>
        <w:ind w:left="360"/>
      </w:pPr>
      <w:r>
        <w:rPr>
          <w:b/>
          <w:bCs/>
          <w:sz w:val="22"/>
          <w:szCs w:val="22"/>
        </w:rPr>
        <w:t xml:space="preserve">• </w:t>
      </w:r>
      <w:r>
        <w:rPr>
          <w:sz w:val="22"/>
          <w:szCs w:val="22"/>
        </w:rPr>
        <w:t xml:space="preserve">Subunternehmerliste mit Vertragsgrundlagen</w:t>
      </w:r>
    </w:p>
    <w:p>
      <w:pPr>
        <w:spacing w:after="80"/>
        <w:ind w:left="360"/>
      </w:pPr>
      <w:r>
        <w:rPr>
          <w:b/>
          <w:bCs/>
          <w:sz w:val="22"/>
          <w:szCs w:val="22"/>
        </w:rPr>
        <w:t xml:space="preserve">• </w:t>
      </w:r>
      <w:r>
        <w:rPr>
          <w:sz w:val="22"/>
          <w:szCs w:val="22"/>
        </w:rPr>
        <w:t xml:space="preserve">Audit-Log-Auszüge, die den Verantwortlichen betreffen</w:t>
      </w:r>
    </w:p>
    <w:p>
      <w:pPr>
        <w:spacing w:after="80"/>
        <w:ind w:left="360"/>
      </w:pPr>
      <w:r>
        <w:rPr>
          <w:b/>
          <w:bCs/>
          <w:sz w:val="22"/>
          <w:szCs w:val="22"/>
        </w:rPr>
        <w:t xml:space="preserve">• </w:t>
      </w:r>
      <w:r>
        <w:rPr>
          <w:sz w:val="22"/>
          <w:szCs w:val="22"/>
        </w:rPr>
        <w:t xml:space="preserve">Bei vorliegenden Zertifikaten (ISO 27001 o. ä.): entsprechende Prüfberichte</w:t>
      </w:r>
    </w:p>
    <w:p>
      <w:pPr>
        <w:spacing w:after="120"/>
        <w:jc w:val="both"/>
      </w:pPr>
      <w:r>
        <w:rPr>
          <w:b w:val="false"/>
          <w:bCs w:val="false"/>
          <w:i w:val="false"/>
          <w:iCs w:val="false"/>
          <w:color w:val="000000"/>
          <w:sz w:val="22"/>
          <w:szCs w:val="22"/>
        </w:rPr>
        <w:t xml:space="preserve">Vor-Ort-Audits sind nach vorheriger schriftlicher Absprache und mit angemessener Vorlaufzeit (mindestens 30 Kalendertage) möglich.</w:t>
      </w:r>
    </w:p>
    <w:p>
      <w:pPr>
        <w:pStyle w:val="Heading1"/>
        <w:spacing w:after="200" w:before="400"/>
      </w:pPr>
      <w:r>
        <w:rPr>
          <w:b/>
          <w:bCs/>
          <w:sz w:val="32"/>
          <w:szCs w:val="32"/>
        </w:rPr>
        <w:t xml:space="preserve">11. Haftung</w:t>
      </w:r>
    </w:p>
    <w:p>
      <w:pPr>
        <w:spacing w:after="120"/>
        <w:jc w:val="both"/>
      </w:pPr>
      <w:r>
        <w:rPr>
          <w:b w:val="false"/>
          <w:bCs w:val="false"/>
          <w:i w:val="false"/>
          <w:iCs w:val="false"/>
          <w:color w:val="000000"/>
          <w:sz w:val="22"/>
          <w:szCs w:val="22"/>
        </w:rPr>
        <w:t xml:space="preserve">Die Haftung beider Parteien richtet sich nach den gesetzlichen Bestimmungen. Der Auftragsverarbeiter haftet insbesondere für Schäden, die durch eine nicht vertragsgemässe Verarbeitung entstehen. Die Haftung ist auf den typischerweise vorhersehbaren Schaden begrenzt.</w:t>
      </w:r>
    </w:p>
    <w:p>
      <w:pPr>
        <w:spacing w:after="120"/>
        <w:jc w:val="both"/>
      </w:pPr>
      <w:r>
        <w:rPr>
          <w:b w:val="false"/>
          <w:bCs w:val="false"/>
          <w:i w:val="false"/>
          <w:iCs w:val="false"/>
          <w:color w:val="000000"/>
          <w:sz w:val="22"/>
          <w:szCs w:val="22"/>
        </w:rPr>
        <w:t xml:space="preserve">Der Verantwortliche bleibt für die Rechtmässigkeit der Datenverarbeitung gegenüber den betroffenen Personen und den Aufsichtsbehörden zuständig.</w:t>
      </w:r>
    </w:p>
    <w:p>
      <w:pPr>
        <w:pStyle w:val="Heading1"/>
        <w:spacing w:after="200" w:before="400"/>
      </w:pPr>
      <w:r>
        <w:rPr>
          <w:b/>
          <w:bCs/>
          <w:sz w:val="32"/>
          <w:szCs w:val="32"/>
        </w:rPr>
        <w:t xml:space="preserve">12. Schlussbestimmungen</w:t>
      </w:r>
    </w:p>
    <w:p>
      <w:pPr>
        <w:pStyle w:val="Heading3"/>
        <w:spacing w:after="80" w:before="240"/>
      </w:pPr>
      <w:r>
        <w:rPr>
          <w:b/>
          <w:bCs/>
          <w:sz w:val="22"/>
          <w:szCs w:val="22"/>
        </w:rPr>
        <w:t xml:space="preserve">12.1 Geheimhaltung</w:t>
      </w:r>
    </w:p>
    <w:p>
      <w:pPr>
        <w:spacing w:after="120"/>
        <w:jc w:val="both"/>
      </w:pPr>
      <w:r>
        <w:rPr>
          <w:b w:val="false"/>
          <w:bCs w:val="false"/>
          <w:i w:val="false"/>
          <w:iCs w:val="false"/>
          <w:color w:val="000000"/>
          <w:sz w:val="22"/>
          <w:szCs w:val="22"/>
        </w:rPr>
        <w:t xml:space="preserve">Beide Parteien verpflichten sich zur Verschwiegenheit über alle im Rahmen dieses Vertrags zur Kenntnis gelangten Informationen. Die Pflicht besteht auch nach Vertragsende fort.</w:t>
      </w:r>
    </w:p>
    <w:p>
      <w:pPr>
        <w:pStyle w:val="Heading3"/>
        <w:spacing w:after="80" w:before="240"/>
      </w:pPr>
      <w:r>
        <w:rPr>
          <w:b/>
          <w:bCs/>
          <w:sz w:val="22"/>
          <w:szCs w:val="22"/>
        </w:rPr>
        <w:t xml:space="preserve">12.2 Änderungen</w:t>
      </w:r>
    </w:p>
    <w:p>
      <w:pPr>
        <w:spacing w:after="120"/>
        <w:jc w:val="both"/>
      </w:pPr>
      <w:r>
        <w:rPr>
          <w:b w:val="false"/>
          <w:bCs w:val="false"/>
          <w:i w:val="false"/>
          <w:iCs w:val="false"/>
          <w:color w:val="000000"/>
          <w:sz w:val="22"/>
          <w:szCs w:val="22"/>
        </w:rPr>
        <w:t xml:space="preserve">Änderungen und Ergänzungen dieses Vertrags bedürfen der Schriftform. Nebenabreden sind nicht getroffen.</w:t>
      </w:r>
    </w:p>
    <w:p>
      <w:pPr>
        <w:pStyle w:val="Heading3"/>
        <w:spacing w:after="80" w:before="240"/>
      </w:pPr>
      <w:r>
        <w:rPr>
          <w:b/>
          <w:bCs/>
          <w:sz w:val="22"/>
          <w:szCs w:val="22"/>
        </w:rPr>
        <w:t xml:space="preserve">12.3 Salvatorische Klausel</w:t>
      </w:r>
    </w:p>
    <w:p>
      <w:pPr>
        <w:spacing w:after="120"/>
        <w:jc w:val="both"/>
      </w:pPr>
      <w:r>
        <w:rPr>
          <w:b w:val="false"/>
          <w:bCs w:val="false"/>
          <w:i w:val="false"/>
          <w:iCs w:val="false"/>
          <w:color w:val="000000"/>
          <w:sz w:val="22"/>
          <w:szCs w:val="22"/>
        </w:rPr>
        <w:t xml:space="preserve">Sollten einzelne Bestimmungen dieses Vertrags ganz oder teilweise unwirksam sein oder werden, bleibt die Wirksamkeit der übrigen Bestimmungen unberührt. Die unwirksame Bestimmung ist durch eine solche zu ersetzen, die dem wirtschaftlichen Zweck am nächsten kommt.</w:t>
      </w:r>
    </w:p>
    <w:p>
      <w:pPr>
        <w:pStyle w:val="Heading3"/>
        <w:spacing w:after="80" w:before="240"/>
      </w:pPr>
      <w:r>
        <w:rPr>
          <w:b/>
          <w:bCs/>
          <w:sz w:val="22"/>
          <w:szCs w:val="22"/>
        </w:rPr>
        <w:t xml:space="preserve">12.4 Anwendbares Recht und Gerichtsstand</w:t>
      </w:r>
    </w:p>
    <w:p>
      <w:pPr>
        <w:spacing w:after="120"/>
        <w:jc w:val="both"/>
      </w:pPr>
      <w:r>
        <w:rPr>
          <w:b w:val="false"/>
          <w:bCs w:val="false"/>
          <w:i w:val="false"/>
          <w:iCs w:val="false"/>
          <w:color w:val="000000"/>
          <w:sz w:val="22"/>
          <w:szCs w:val="22"/>
        </w:rPr>
        <w:t xml:space="preserve">Dieser Vertrag unterliegt schweizerischem Recht. Gerichtsstand ist der Sitz des Auftragsverarbeiters, soweit zwingendes Recht nichts anderes vorsieht.</w:t>
      </w:r>
    </w:p>
    <w:p>
      <w:r>
        <w:br w:type="page"/>
      </w:r>
    </w:p>
    <w:p>
      <w:pPr>
        <w:pStyle w:val="Heading1"/>
        <w:spacing w:after="200" w:before="400"/>
      </w:pPr>
      <w:r>
        <w:rPr>
          <w:b/>
          <w:bCs/>
          <w:sz w:val="32"/>
          <w:szCs w:val="32"/>
        </w:rPr>
        <w:t xml:space="preserve">Unterschriften</w:t>
      </w:r>
    </w:p>
    <w:p>
      <w:pPr>
        <w:spacing w:after="120"/>
        <w:jc w:val="both"/>
      </w:pPr>
      <w:r>
        <w:rPr>
          <w:b w:val="false"/>
          <w:bCs w:val="false"/>
          <w:i w:val="false"/>
          <w:iCs w:val="false"/>
          <w:color w:val="000000"/>
          <w:sz w:val="22"/>
          <w:szCs w:val="22"/>
        </w:rPr>
        <w:t xml:space="preserve">Ort, Datum: ________________________________________</w:t>
      </w:r>
    </w:p>
    <w:p>
      <w:pPr>
        <w:spacing w:after="120"/>
        <w:jc w:val="both"/>
      </w:pPr>
      <w:r>
        <w:rPr>
          <w:b w:val="false"/>
          <w:bCs w:val="false"/>
          <w:i w:val="false"/>
          <w:iCs w:val="false"/>
          <w:color w:val="000000"/>
          <w:sz w:val="22"/>
          <w:szCs w:val="22"/>
        </w:rPr>
        <w:t xml:space="preserve"/>
      </w:r>
    </w:p>
    <w:p>
      <w:pPr>
        <w:spacing w:after="120"/>
        <w:jc w:val="both"/>
      </w:pPr>
      <w:r>
        <w:rPr>
          <w:b w:val="false"/>
          <w:bCs w:val="false"/>
          <w:i w:val="false"/>
          <w:iCs w:val="false"/>
          <w:color w:val="000000"/>
          <w:sz w:val="22"/>
          <w:szCs w:val="22"/>
        </w:rPr>
        <w:t xml:space="preserve"/>
      </w:r>
    </w:p>
    <w:p>
      <w:pPr>
        <w:spacing w:after="80" w:before="480"/>
      </w:pPr>
      <w:r>
        <w:rPr>
          <w:sz w:val="22"/>
          <w:szCs w:val="22"/>
        </w:rPr>
        <w:t xml:space="preserve">________________________________    ________________________________</w:t>
      </w:r>
    </w:p>
    <w:p>
      <w:pPr>
        <w:spacing w:after="200"/>
      </w:pPr>
      <w:r>
        <w:rPr>
          <w:color w:val="64748B"/>
          <w:sz w:val="18"/>
          <w:szCs w:val="18"/>
        </w:rPr>
        <w:t xml:space="preserve">Verantwortlicher                                                    Auftragsverarbeiter (BlitzDoc)</w:t>
      </w:r>
    </w:p>
    <w:p>
      <w:pPr>
        <w:spacing w:after="120"/>
        <w:jc w:val="both"/>
      </w:pPr>
      <w:r>
        <w:rPr>
          <w:b w:val="false"/>
          <w:bCs w:val="false"/>
          <w:i w:val="false"/>
          <w:iCs w:val="false"/>
          <w:color w:val="000000"/>
          <w:sz w:val="22"/>
          <w:szCs w:val="22"/>
        </w:rPr>
        <w:t xml:space="preserve"/>
      </w:r>
    </w:p>
    <w:p>
      <w:pPr>
        <w:spacing w:after="120"/>
        <w:jc w:val="both"/>
      </w:pPr>
      <w:r>
        <w:rPr>
          <w:b w:val="false"/>
          <w:bCs w:val="false"/>
          <w:i w:val="false"/>
          <w:iCs w:val="false"/>
          <w:color w:val="000000"/>
          <w:sz w:val="22"/>
          <w:szCs w:val="22"/>
        </w:rPr>
        <w:t xml:space="preserve">Name (in Druckbuchstaben):</w:t>
      </w:r>
    </w:p>
    <w:p>
      <w:pPr>
        <w:spacing w:after="120"/>
        <w:jc w:val="both"/>
      </w:pPr>
      <w:r>
        <w:rPr>
          <w:b w:val="false"/>
          <w:bCs w:val="false"/>
          <w:i w:val="false"/>
          <w:iCs w:val="false"/>
          <w:color w:val="000000"/>
          <w:sz w:val="22"/>
          <w:szCs w:val="22"/>
        </w:rPr>
        <w:t xml:space="preserve"/>
      </w:r>
    </w:p>
    <w:p>
      <w:pPr>
        <w:spacing w:after="80" w:before="480"/>
      </w:pPr>
      <w:r>
        <w:rPr>
          <w:sz w:val="22"/>
          <w:szCs w:val="22"/>
        </w:rPr>
        <w:t xml:space="preserve">________________________________    ________________________________</w:t>
      </w:r>
    </w:p>
    <w:p>
      <w:pPr>
        <w:spacing w:after="200"/>
      </w:pPr>
      <w:r>
        <w:rPr>
          <w:color w:val="64748B"/>
          <w:sz w:val="18"/>
          <w:szCs w:val="18"/>
        </w:rPr>
        <w:t xml:space="preserve">Verantwortlicher                                                    Drayhan Ozdemir, BlitzDoc</w:t>
      </w:r>
    </w:p>
    <w:p>
      <w:pPr>
        <w:spacing w:after="120"/>
        <w:jc w:val="both"/>
      </w:pPr>
      <w:r>
        <w:rPr>
          <w:b w:val="false"/>
          <w:bCs w:val="false"/>
          <w:i w:val="false"/>
          <w:iCs w:val="false"/>
          <w:color w:val="000000"/>
          <w:sz w:val="22"/>
          <w:szCs w:val="22"/>
        </w:rPr>
        <w:t xml:space="preserve"/>
      </w:r>
    </w:p>
    <w:p>
      <w:pPr>
        <w:spacing w:after="120"/>
        <w:jc w:val="both"/>
      </w:pPr>
      <w:r>
        <w:rPr>
          <w:b w:val="false"/>
          <w:bCs w:val="false"/>
          <w:i w:val="false"/>
          <w:iCs w:val="false"/>
          <w:color w:val="000000"/>
          <w:sz w:val="22"/>
          <w:szCs w:val="22"/>
        </w:rPr>
        <w:t xml:space="preserve"/>
      </w:r>
    </w:p>
    <w:p>
      <w:pPr>
        <w:spacing w:after="120"/>
        <w:jc w:val="both"/>
      </w:pPr>
      <w:r>
        <w:rPr>
          <w:b w:val="false"/>
          <w:bCs w:val="false"/>
          <w:i w:val="false"/>
          <w:iCs w:val="false"/>
          <w:color w:val="64748B"/>
          <w:sz w:val="22"/>
          <w:szCs w:val="22"/>
        </w:rPr>
        <w:t xml:space="preserve">Stempel:</w:t>
      </w:r>
    </w:p>
    <w:p>
      <w:pPr>
        <w:spacing w:before="800"/>
        <w:jc w:val="center"/>
      </w:pPr>
      <w:r>
        <w:rPr>
          <w:i/>
          <w:iCs/>
          <w:color w:val="94A3B8"/>
          <w:sz w:val="16"/>
          <w:szCs w:val="16"/>
        </w:rPr>
        <w:t xml:space="preserve">— BlitzDoc AVV-Mustervorlage · Version 1.0 · www.blitzdoc.ch/trust.html —</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BlitzDoc AVV-Mustervorlage</dc:title>
  <dc:creator>BlitzDoc</dc:creator>
  <dc:description>Auftragsverarbeitungsvertrag nach Art. 9 nDSG — Mustervorlage</dc:description>
  <cp:lastModifiedBy>Un-named</cp:lastModifiedBy>
  <cp:revision>1</cp:revision>
  <dcterms:created xsi:type="dcterms:W3CDTF">2026-04-12T18:03:14.526Z</dcterms:created>
  <dcterms:modified xsi:type="dcterms:W3CDTF">2026-04-12T18:03:14.526Z</dcterms:modified>
</cp:coreProperties>
</file>

<file path=docProps/custom.xml><?xml version="1.0" encoding="utf-8"?>
<Properties xmlns="http://schemas.openxmlformats.org/officeDocument/2006/custom-properties" xmlns:vt="http://schemas.openxmlformats.org/officeDocument/2006/docPropsVTypes"/>
</file>